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(далее - КоАП РФ) </w:t>
      </w:r>
      <w:r>
        <w:rPr>
          <w:rFonts w:ascii="Times New Roman" w:eastAsia="Times New Roman" w:hAnsi="Times New Roman" w:cs="Times New Roman"/>
        </w:rPr>
        <w:t>в отношении должностного лица-генерального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Узекской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СОК «Ветеран» уч.22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до 24 </w:t>
      </w:r>
      <w:r>
        <w:rPr>
          <w:rStyle w:val="cat-Timegrp-19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директор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предоставив её с нарушением срока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1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предоставлении налоговой декларации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</w:t>
      </w:r>
      <w:r>
        <w:rPr>
          <w:rFonts w:ascii="Times New Roman" w:eastAsia="Times New Roman" w:hAnsi="Times New Roman" w:cs="Times New Roman"/>
        </w:rPr>
        <w:t>ирового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5516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Timegrp-20rplc-21">
    <w:name w:val="cat-Time grp-20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OrganizationNamegrp-18rplc-32">
    <w:name w:val="cat-OrganizationName grp-18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OrganizationNamegrp-18rplc-36">
    <w:name w:val="cat-OrganizationName grp-18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BBFE-D8FF-4374-9B38-19FE04F2DFE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